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6C46E" w14:textId="77777777" w:rsidR="00C73ECD" w:rsidRPr="00BD4A58" w:rsidRDefault="00C73ECD" w:rsidP="00BD4A58">
      <w:pPr>
        <w:pStyle w:val="Titre"/>
      </w:pPr>
      <w:bookmarkStart w:id="0" w:name="_Toc3788538"/>
      <w:bookmarkStart w:id="1" w:name="_GoBack"/>
      <w:bookmarkEnd w:id="1"/>
      <w:r w:rsidRPr="00BD4A58">
        <w:t>L’Égypte</w:t>
      </w:r>
    </w:p>
    <w:p w14:paraId="0FB6C46F" w14:textId="77777777" w:rsidR="006C3FE1" w:rsidRPr="00C73ECD" w:rsidRDefault="006C3FE1" w:rsidP="00C73ECD">
      <w:pPr>
        <w:pStyle w:val="Titre1"/>
      </w:pPr>
      <w:r w:rsidRPr="00C73ECD">
        <w:t>Abou Simbel</w:t>
      </w:r>
      <w:bookmarkEnd w:id="0"/>
    </w:p>
    <w:p w14:paraId="0FB6C470" w14:textId="77777777" w:rsidR="006C3FE1" w:rsidRDefault="006C3FE1"/>
    <w:p w14:paraId="0FB6C471" w14:textId="77777777" w:rsidR="006C3FE1" w:rsidRDefault="006C3FE1">
      <w:pPr>
        <w:jc w:val="both"/>
      </w:pPr>
      <w:r>
        <w:t xml:space="preserve">Les deux temples d'Abou Simbel furent creusés dans la falaise de grès nubien sur les ordres de Ramsès II (1301-1235 av. J-C.). Alors que le petit temple est dédié à la déesse Hathor et à Nefertari, l'épouse préférée de Ramsès II, le Grand Temple est consacré aux trois principaux dieux de l'époque </w:t>
      </w:r>
      <w:r w:rsidR="006C4E84">
        <w:t>ramesside</w:t>
      </w:r>
      <w:r>
        <w:t xml:space="preserve">: le dieu soleil Horakhty, Amon de Karnak et Ptah de Memphis, sans oublier le roi lui-même adoré en ce lieu comme un dieu. </w:t>
      </w:r>
    </w:p>
    <w:p w14:paraId="0FB6C472" w14:textId="77777777" w:rsidR="006C3FE1" w:rsidRDefault="006C3FE1"/>
    <w:p w14:paraId="0FB6C473" w14:textId="77777777" w:rsidR="006C3FE1" w:rsidRDefault="006C3FE1"/>
    <w:p w14:paraId="0FB6C474" w14:textId="77777777" w:rsidR="006C3FE1" w:rsidRDefault="005B5E1F">
      <w:pPr>
        <w:keepNext/>
        <w:tabs>
          <w:tab w:val="right" w:pos="9072"/>
        </w:tabs>
        <w:jc w:val="center"/>
      </w:pPr>
      <w:r>
        <w:rPr>
          <w:noProof/>
        </w:rPr>
        <w:drawing>
          <wp:inline distT="0" distB="0" distL="0" distR="0" wp14:anchorId="0FB6C4B6" wp14:editId="0FB6C4B7">
            <wp:extent cx="1219200" cy="1864360"/>
            <wp:effectExtent l="0" t="0" r="0" b="2540"/>
            <wp:docPr id="1" name="Image 1" descr="Abou Simbel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 Simbel 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864360"/>
                    </a:xfrm>
                    <a:prstGeom prst="rect">
                      <a:avLst/>
                    </a:prstGeom>
                    <a:noFill/>
                    <a:ln>
                      <a:noFill/>
                    </a:ln>
                  </pic:spPr>
                </pic:pic>
              </a:graphicData>
            </a:graphic>
          </wp:inline>
        </w:drawing>
      </w:r>
    </w:p>
    <w:p w14:paraId="0FB6C475" w14:textId="77777777" w:rsidR="006C3FE1" w:rsidRDefault="006C3FE1">
      <w:pPr>
        <w:pStyle w:val="Lgende"/>
        <w:jc w:val="center"/>
      </w:pPr>
      <w:bookmarkStart w:id="2" w:name="_Toc3772174"/>
      <w:r>
        <w:t xml:space="preserve">Photo </w:t>
      </w:r>
      <w:r w:rsidR="00D92E2E">
        <w:fldChar w:fldCharType="begin"/>
      </w:r>
      <w:r w:rsidR="00D92E2E">
        <w:instrText xml:space="preserve"> SEQ Photo \* ARABIC </w:instrText>
      </w:r>
      <w:r w:rsidR="00D92E2E">
        <w:fldChar w:fldCharType="separate"/>
      </w:r>
      <w:r>
        <w:rPr>
          <w:noProof/>
        </w:rPr>
        <w:t>1</w:t>
      </w:r>
      <w:r w:rsidR="00D92E2E">
        <w:rPr>
          <w:noProof/>
        </w:rPr>
        <w:fldChar w:fldCharType="end"/>
      </w:r>
      <w:r>
        <w:t xml:space="preserve"> Temple Abou Simbel 1</w:t>
      </w:r>
      <w:bookmarkEnd w:id="2"/>
    </w:p>
    <w:p w14:paraId="0FB6C476" w14:textId="77777777" w:rsidR="006C3FE1" w:rsidRDefault="006C3FE1">
      <w:pPr>
        <w:keepNext/>
        <w:tabs>
          <w:tab w:val="right" w:pos="9072"/>
        </w:tabs>
        <w:jc w:val="center"/>
      </w:pPr>
    </w:p>
    <w:p w14:paraId="0FB6C477" w14:textId="77777777" w:rsidR="006C3FE1" w:rsidRDefault="005B5E1F">
      <w:pPr>
        <w:keepNext/>
        <w:tabs>
          <w:tab w:val="right" w:pos="9072"/>
        </w:tabs>
        <w:jc w:val="center"/>
      </w:pPr>
      <w:r>
        <w:rPr>
          <w:noProof/>
        </w:rPr>
        <w:drawing>
          <wp:inline distT="0" distB="0" distL="0" distR="0" wp14:anchorId="0FB6C4B8" wp14:editId="0FB6C4B9">
            <wp:extent cx="2797175" cy="1864360"/>
            <wp:effectExtent l="0" t="0" r="3175" b="2540"/>
            <wp:docPr id="2" name="Image 2" descr="Abou Simbel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ou Simbel 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7175" cy="1864360"/>
                    </a:xfrm>
                    <a:prstGeom prst="rect">
                      <a:avLst/>
                    </a:prstGeom>
                    <a:noFill/>
                    <a:ln>
                      <a:noFill/>
                    </a:ln>
                  </pic:spPr>
                </pic:pic>
              </a:graphicData>
            </a:graphic>
          </wp:inline>
        </w:drawing>
      </w:r>
    </w:p>
    <w:p w14:paraId="0FB6C478" w14:textId="77777777" w:rsidR="006C3FE1" w:rsidRDefault="006C3FE1">
      <w:pPr>
        <w:pStyle w:val="Lgende"/>
        <w:tabs>
          <w:tab w:val="left" w:pos="4678"/>
        </w:tabs>
        <w:jc w:val="center"/>
      </w:pPr>
      <w:bookmarkStart w:id="3" w:name="_Toc3772175"/>
      <w:r>
        <w:t xml:space="preserve">Photo </w:t>
      </w:r>
      <w:r w:rsidR="00D92E2E">
        <w:fldChar w:fldCharType="begin"/>
      </w:r>
      <w:r w:rsidR="00D92E2E">
        <w:instrText xml:space="preserve"> SEQ Photo \*</w:instrText>
      </w:r>
      <w:r w:rsidR="00D92E2E">
        <w:instrText xml:space="preserve"> ARABIC </w:instrText>
      </w:r>
      <w:r w:rsidR="00D92E2E">
        <w:fldChar w:fldCharType="separate"/>
      </w:r>
      <w:r>
        <w:rPr>
          <w:noProof/>
        </w:rPr>
        <w:t>2</w:t>
      </w:r>
      <w:r w:rsidR="00D92E2E">
        <w:rPr>
          <w:noProof/>
        </w:rPr>
        <w:fldChar w:fldCharType="end"/>
      </w:r>
      <w:r>
        <w:t xml:space="preserve"> Temple d'Abou Simbel 2</w:t>
      </w:r>
      <w:bookmarkEnd w:id="3"/>
    </w:p>
    <w:p w14:paraId="0FB6C479" w14:textId="77777777" w:rsidR="006C3FE1" w:rsidRDefault="006C3FE1"/>
    <w:p w14:paraId="0FB6C47A" w14:textId="77777777" w:rsidR="00AD3577" w:rsidRDefault="00AD3577"/>
    <w:p w14:paraId="0FB6C47B" w14:textId="77777777" w:rsidR="006C3FE1" w:rsidRDefault="006C3FE1">
      <w:pPr>
        <w:pStyle w:val="Titre2"/>
      </w:pPr>
      <w:bookmarkStart w:id="4" w:name="_Toc3788539"/>
      <w:r>
        <w:t>Ramsès II</w:t>
      </w:r>
      <w:bookmarkEnd w:id="4"/>
      <w:r>
        <w:t xml:space="preserve"> </w:t>
      </w:r>
    </w:p>
    <w:p w14:paraId="0FB6C47C" w14:textId="77777777" w:rsidR="006C3FE1" w:rsidRDefault="006C3FE1">
      <w:pPr>
        <w:pStyle w:val="Paragraphe"/>
      </w:pPr>
      <w:r>
        <w:t>Abou Simbel renferme le pronaos, une salle remarquable de 18 mètres de profondeur, dont le plafond, orné de vautours aux ailes déployées et de légendes royales, repose sur 8 piliers osiriaques. Leurs côtés sont gravés de scènes d'offrandes. Sur les parois se déroulent les différentes phases de la bataille de Qadesh, opposant Ramsès II aux Hittites.</w:t>
      </w:r>
    </w:p>
    <w:p w14:paraId="0FB6C47D" w14:textId="77777777" w:rsidR="006C3FE1" w:rsidRDefault="006C3FE1">
      <w:pPr>
        <w:pStyle w:val="En-tte"/>
        <w:tabs>
          <w:tab w:val="clear" w:pos="4536"/>
          <w:tab w:val="clear" w:pos="9072"/>
        </w:tabs>
      </w:pPr>
    </w:p>
    <w:p w14:paraId="0FB6C47E" w14:textId="77777777" w:rsidR="006C3FE1" w:rsidRDefault="006C3FE1" w:rsidP="00AB0DC8">
      <w:pPr>
        <w:pStyle w:val="Titre2"/>
        <w:ind w:right="0"/>
      </w:pPr>
      <w:bookmarkStart w:id="5" w:name="_Toc3788540"/>
      <w:r>
        <w:t>Temple de Ramsès II</w:t>
      </w:r>
      <w:bookmarkEnd w:id="5"/>
      <w:r>
        <w:t xml:space="preserve"> </w:t>
      </w:r>
    </w:p>
    <w:p w14:paraId="0FB6C47F" w14:textId="77777777" w:rsidR="006C3FE1" w:rsidRDefault="006C3FE1"/>
    <w:p w14:paraId="0FB6C480" w14:textId="77777777" w:rsidR="006C3FE1" w:rsidRDefault="006C3FE1">
      <w:pPr>
        <w:pStyle w:val="Paragraphe"/>
        <w:ind w:left="0"/>
      </w:pPr>
      <w:r>
        <w:t>Menacé par l'élévation des eaux du lac Nasser, Abou Simbel fut sauvé des eaux. Commencés à la fin de l'année 1963, les travaux aboutissent en janvier 1966 à la pose de la première pierre d'Abou Simbel dans son nouveau site. L'inauguration a lieu le 22 septembre 1968, mais les travaux de colmatage n'ont été terminés qu'en 1972. 900 personnes ont travaillé à ce sauvetage. Les deux temples ont été découpés en 1036 blocs dont certains pesaient 30 tonnes, puis reconstitués 60 mètres plus haut.</w:t>
      </w:r>
    </w:p>
    <w:p w14:paraId="0FB6C481" w14:textId="77777777" w:rsidR="006C3FE1" w:rsidRDefault="006C3FE1">
      <w:pPr>
        <w:pStyle w:val="Paragraphe"/>
        <w:ind w:left="0"/>
      </w:pPr>
      <w:r>
        <w:t>Les quatre colosses de la façade représentent Ramsès II assis, coiffé du némès que surmonte le pschent, le visage souriant. Sur leur pectoral et sur leurs bras se répète le cartouche royal. Sur les flancs du siège sont figurés des captifs. A droite et à gauche de chaque colosse, les filles, les fils, l'épouse et la mère du pharaon sont représentés en taille réduite; leur image n'atteint pas même le genou du roi.</w:t>
      </w:r>
    </w:p>
    <w:p w14:paraId="0FB6C482" w14:textId="77777777" w:rsidR="006C3FE1" w:rsidRDefault="006C3FE1">
      <w:pPr>
        <w:pStyle w:val="Paragraphe"/>
        <w:ind w:left="0"/>
      </w:pPr>
      <w:r>
        <w:t>La hauteur des colosses, de la plante des pieds à l'extrémité de la coiffure, est de 20 mètres environ, le front de 0,59 m; le nez de 0,98 m; l'oreille de 1,06 m; l'oeil de 0,84 m et la bouche de 1,10 m. La largeur de la face d'une oreille à l'autre est de 4,17 m. Plus que ces dimensions, ce qui frappe, c'est la beauté et l'expressivité des visages, et la perfection de l'exécution.</w:t>
      </w:r>
    </w:p>
    <w:p w14:paraId="0FB6C483" w14:textId="77777777" w:rsidR="006C3FE1" w:rsidRDefault="006C3FE1">
      <w:pPr>
        <w:pStyle w:val="Paragraphe"/>
      </w:pPr>
    </w:p>
    <w:p w14:paraId="0FB6C484" w14:textId="77777777" w:rsidR="006C3FE1" w:rsidRDefault="005B5E1F">
      <w:pPr>
        <w:keepNext/>
        <w:jc w:val="center"/>
      </w:pPr>
      <w:r>
        <w:rPr>
          <w:noProof/>
        </w:rPr>
        <w:drawing>
          <wp:inline distT="0" distB="0" distL="0" distR="0" wp14:anchorId="0FB6C4BA" wp14:editId="0FB6C4BB">
            <wp:extent cx="1649730" cy="2483485"/>
            <wp:effectExtent l="0" t="0" r="7620" b="0"/>
            <wp:docPr id="3" name="Image 3" descr="Temple d'Abou Sim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mple d'Abou Simb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9730" cy="2483485"/>
                    </a:xfrm>
                    <a:prstGeom prst="rect">
                      <a:avLst/>
                    </a:prstGeom>
                    <a:noFill/>
                    <a:ln>
                      <a:noFill/>
                    </a:ln>
                  </pic:spPr>
                </pic:pic>
              </a:graphicData>
            </a:graphic>
          </wp:inline>
        </w:drawing>
      </w:r>
    </w:p>
    <w:p w14:paraId="0FB6C485" w14:textId="77777777" w:rsidR="006C3FE1" w:rsidRDefault="006C3FE1">
      <w:pPr>
        <w:keepNext/>
        <w:jc w:val="center"/>
      </w:pPr>
    </w:p>
    <w:p w14:paraId="0FB6C486" w14:textId="77777777" w:rsidR="006C3FE1" w:rsidRDefault="006C3FE1">
      <w:pPr>
        <w:pStyle w:val="Lgende"/>
        <w:jc w:val="center"/>
      </w:pPr>
      <w:bookmarkStart w:id="6" w:name="_Toc3772176"/>
      <w:r>
        <w:t xml:space="preserve">Photo </w:t>
      </w:r>
      <w:r w:rsidR="00D92E2E">
        <w:fldChar w:fldCharType="begin"/>
      </w:r>
      <w:r w:rsidR="00D92E2E">
        <w:instrText xml:space="preserve"> SEQ Photo \* ARABIC </w:instrText>
      </w:r>
      <w:r w:rsidR="00D92E2E">
        <w:fldChar w:fldCharType="separate"/>
      </w:r>
      <w:r>
        <w:rPr>
          <w:noProof/>
        </w:rPr>
        <w:t>3</w:t>
      </w:r>
      <w:r w:rsidR="00D92E2E">
        <w:rPr>
          <w:noProof/>
        </w:rPr>
        <w:fldChar w:fldCharType="end"/>
      </w:r>
      <w:r>
        <w:t xml:space="preserve"> Temple de Ramsès II - Abou Simbel</w:t>
      </w:r>
      <w:bookmarkEnd w:id="6"/>
    </w:p>
    <w:p w14:paraId="0FB6C487" w14:textId="77777777" w:rsidR="006C3FE1" w:rsidRDefault="006C3FE1"/>
    <w:p w14:paraId="0FB6C488" w14:textId="77777777" w:rsidR="006C3FE1" w:rsidRDefault="006C3FE1">
      <w:pPr>
        <w:pStyle w:val="Titre2"/>
      </w:pPr>
      <w:bookmarkStart w:id="7" w:name="_Toc3788541"/>
      <w:r>
        <w:t>Temple d'Hathor</w:t>
      </w:r>
      <w:bookmarkEnd w:id="7"/>
      <w:r>
        <w:t xml:space="preserve"> </w:t>
      </w:r>
    </w:p>
    <w:p w14:paraId="0FB6C489" w14:textId="77777777" w:rsidR="006C3FE1" w:rsidRDefault="006C3FE1">
      <w:pPr>
        <w:pStyle w:val="Paragraphe"/>
      </w:pPr>
      <w:r>
        <w:t>Les six colosses taillés dans le roc qui forment la façade du temple d'Hathor atteignent 10 mètres de haut. Il s'agit d'un sanctuaire consacré à la déesse de la joie et de l'amour, figurée ici sous les traits de la reine Nefertari.</w:t>
      </w:r>
    </w:p>
    <w:p w14:paraId="0FB6C48A" w14:textId="77777777" w:rsidR="006C3FE1" w:rsidRDefault="006C3FE1">
      <w:pPr>
        <w:pStyle w:val="Paragraphe"/>
      </w:pPr>
      <w:r>
        <w:t xml:space="preserve">L'image de la reine en costume d'Hathor domine le temple, entourée de 4 colosses aux traits de Ramsès II. Comme toujours, à hauteur du genou du pharaon, se dressent les statues de ses fils; </w:t>
      </w:r>
      <w:r w:rsidR="006C4E84">
        <w:t>aux pieds</w:t>
      </w:r>
      <w:r>
        <w:t xml:space="preserve"> de la reine se trouvent celles des princesses royales. L'intérieur comprend un pronaos dont le plafond est supporté par 6 piliers hathoriques disposés en 2 rangées; ils portent, à près de 3 mètres de haut, le beau visage de la déesse aux oreilles de vache.</w:t>
      </w:r>
    </w:p>
    <w:p w14:paraId="0FB6C48B" w14:textId="77777777" w:rsidR="006C3FE1" w:rsidRDefault="006C3FE1">
      <w:pPr>
        <w:pStyle w:val="Titre2"/>
      </w:pPr>
      <w:bookmarkStart w:id="8" w:name="_Toc3788542"/>
      <w:r>
        <w:t>Hiéroglyphes</w:t>
      </w:r>
      <w:bookmarkEnd w:id="8"/>
      <w:r>
        <w:t xml:space="preserve"> </w:t>
      </w:r>
    </w:p>
    <w:p w14:paraId="0FB6C48C" w14:textId="77777777" w:rsidR="006C3FE1" w:rsidRDefault="006C3FE1">
      <w:pPr>
        <w:pStyle w:val="Paragraphe"/>
      </w:pPr>
      <w:r>
        <w:t>Hiéroglyphes sur la façade du temple de Ramsès II. En attribuant son invention au dieu Thot, les Egyptiens traduisent le miracle d'une mise au point extrêmement rapide: parfaitement constituée dès l'origine, cette écriture ne subira pas de modification notable jusqu'à son abandon définitif dans les premiers siècles de notre ère. Seul le nombre de signes passe, au cours des millénaires, de 700 environ à près de 5000.</w:t>
      </w:r>
    </w:p>
    <w:p w14:paraId="0FB6C48D" w14:textId="77777777" w:rsidR="006C3FE1" w:rsidRDefault="006C3FE1"/>
    <w:p w14:paraId="0FB6C48E" w14:textId="77777777" w:rsidR="006C3FE1" w:rsidRDefault="006C3FE1" w:rsidP="00C73ECD">
      <w:pPr>
        <w:pStyle w:val="Titre1"/>
      </w:pPr>
      <w:bookmarkStart w:id="9" w:name="_Toc3788543"/>
      <w:r>
        <w:t>Lac Nasser</w:t>
      </w:r>
      <w:bookmarkEnd w:id="9"/>
    </w:p>
    <w:p w14:paraId="0FB6C48F" w14:textId="77777777" w:rsidR="006C3FE1" w:rsidRDefault="006C3FE1"/>
    <w:p w14:paraId="0FB6C490" w14:textId="77777777" w:rsidR="006C3FE1" w:rsidRDefault="006C3FE1">
      <w:pPr>
        <w:jc w:val="both"/>
      </w:pPr>
      <w:r>
        <w:t>Le barrage d'Assouan ou Sadd el-Ali, de son nom égyptien, est un ouvrage colossal et l'un des plus impressionnants au monde dans ce domaine. Epais de 980 mètres à la base, de 40 mètres au sommet, il fait 3 600 mètres de long et 111 mètres de haut. Quant au lac artificiel qu'il a créé, le lac Nasser, avec 500 km de long dont 150 appartiennent au Soudan, sur une largeur allant de 10 à 30 km, il est par sa capacité de retenue (157 milliards de m3) le second du monde après celui du Zambèze.</w:t>
      </w:r>
    </w:p>
    <w:p w14:paraId="0FB6C491" w14:textId="77777777" w:rsidR="006C3FE1" w:rsidRDefault="006C3FE1">
      <w:pPr>
        <w:pStyle w:val="Titre2"/>
      </w:pPr>
      <w:bookmarkStart w:id="10" w:name="_Toc3788544"/>
      <w:r>
        <w:t>Rives du lac</w:t>
      </w:r>
      <w:bookmarkEnd w:id="10"/>
      <w:r>
        <w:t xml:space="preserve"> </w:t>
      </w:r>
    </w:p>
    <w:p w14:paraId="0FB6C492" w14:textId="77777777" w:rsidR="006C3FE1" w:rsidRDefault="006C3FE1">
      <w:pPr>
        <w:pStyle w:val="Paragraphe"/>
      </w:pPr>
      <w:r>
        <w:t>Les rives du Lac Nasser. Nubie est généralement synonyme de Sud égyptien, c'est-à-dire la Basse Nubie (de la première cataracte à la deuxième). La Haute Nubie s'étend, au Soudan, jusqu'à la quatrième cataracte. La réunion des deux provinces constitue une entité géographique et humaine qui, dans l'Antiquité fut tour à tour soumise aux Egyptiens, indépendante ou maîtresse de l'Egypte. C'est la presque totalité de la Nubie qui, sur 500 km se trouve immergée. On appelle Nouvelle Nubie la région, au Nord d'Assouan, où ont été réinstallés les deux tiers des 60 000 Nubiens expropriés</w:t>
      </w:r>
    </w:p>
    <w:p w14:paraId="0FB6C493" w14:textId="77777777" w:rsidR="006C3FE1" w:rsidRDefault="006C3FE1">
      <w:pPr>
        <w:pStyle w:val="Paragraphe"/>
      </w:pPr>
      <w:r>
        <w:t>Les prouesses du sauvetage des monuments ont fait oublier la perte inestimable d'autres trésors. Perdus, le temple de Gerf Husayn, la chapelle d'Adou-Oda, la cathédrale chrétienne de Faras. Englouties, les milliers de tombes à peine fouillées dans les cent cinquante et une nécropoles des rives de l'ancien fleuve.</w:t>
      </w:r>
    </w:p>
    <w:p w14:paraId="0FB6C494" w14:textId="77777777" w:rsidR="006C3FE1" w:rsidRDefault="006C3FE1"/>
    <w:p w14:paraId="0FB6C495" w14:textId="77777777" w:rsidR="006C3FE1" w:rsidRDefault="006C3FE1">
      <w:pPr>
        <w:pStyle w:val="Titre2"/>
      </w:pPr>
      <w:bookmarkStart w:id="11" w:name="_Toc3788545"/>
      <w:r>
        <w:t>Désert de Nubie</w:t>
      </w:r>
      <w:bookmarkEnd w:id="11"/>
      <w:r>
        <w:t xml:space="preserve"> </w:t>
      </w:r>
    </w:p>
    <w:p w14:paraId="0FB6C496" w14:textId="77777777" w:rsidR="006C3FE1" w:rsidRDefault="006C3FE1">
      <w:pPr>
        <w:pStyle w:val="Paragraphe"/>
      </w:pPr>
      <w:r>
        <w:t>A l'ouest du Nil s'étendent de grandes dunes reposant sur les grès nubiens. A l'est, des massifs volcaniques et cristallins s'élèvent vers la mer Rouge, dépassant 2000 mètres.</w:t>
      </w:r>
    </w:p>
    <w:p w14:paraId="0FB6C497" w14:textId="77777777" w:rsidR="006C3FE1" w:rsidRDefault="006C3FE1">
      <w:pPr>
        <w:pStyle w:val="Paragraphe"/>
      </w:pPr>
      <w:r>
        <w:t>L'hiver (novembre-février) est la saison la plus agréable pour les visites, même si les journées peuvent être fraîches et les nuits vraiment froides. Au printemps (mars-avril), souffle le khamsin, vent de sable et de poussière. L'été est très chaud et très sec, avec des températures pouvant dépasser 45°C dans le Sud.</w:t>
      </w:r>
    </w:p>
    <w:p w14:paraId="0FB6C498" w14:textId="77777777" w:rsidR="00BD4851" w:rsidRDefault="00BD4851">
      <w:pPr>
        <w:pStyle w:val="Paragraphe"/>
      </w:pPr>
    </w:p>
    <w:p w14:paraId="0FB6C499" w14:textId="77777777" w:rsidR="006C3FE1" w:rsidRDefault="006C3FE1" w:rsidP="00C73ECD">
      <w:pPr>
        <w:pStyle w:val="Titre1"/>
      </w:pPr>
      <w:bookmarkStart w:id="12" w:name="_Toc3788546"/>
      <w:r>
        <w:t>Assouan</w:t>
      </w:r>
      <w:bookmarkEnd w:id="12"/>
      <w:r>
        <w:t xml:space="preserve"> </w:t>
      </w:r>
    </w:p>
    <w:p w14:paraId="0FB6C49A" w14:textId="77777777" w:rsidR="006C3FE1" w:rsidRDefault="006C3FE1"/>
    <w:p w14:paraId="0FB6C49B" w14:textId="77777777" w:rsidR="006C3FE1" w:rsidRDefault="006C3FE1">
      <w:pPr>
        <w:spacing w:line="360" w:lineRule="auto"/>
        <w:jc w:val="both"/>
      </w:pPr>
      <w:r>
        <w:t>Assouan, c'est la première cataracte du Nil, un monde de rochers et d'eaux bouillonnantes. Les anciens croyaient que la crue limoneuse qui fertilisait le pays chaque année surgissait d'une caverne mystérieuse cachée sous les rapides. En son centre, l'île Eléphantine ondoie sur un Nil plus lac que fleuve. Assouan était la porte de l'Egypte, au-delà s'étendait la Nubie.</w:t>
      </w:r>
    </w:p>
    <w:p w14:paraId="0FB6C49C" w14:textId="77777777" w:rsidR="006C3FE1" w:rsidRDefault="006C3FE1">
      <w:pPr>
        <w:spacing w:line="360" w:lineRule="auto"/>
        <w:jc w:val="both"/>
      </w:pPr>
      <w:r>
        <w:t>L'histoire d'Assouan commence sur l'île Eléphantine (ci-contre). De son nom égyptien Abou ("éléphant" ou "ivoire"), elle fut sous les pharaons la capitale du premier nome de Haute-Egypte. On y trouvait le sanctuaire du dieu-bélier Khnoum, et le fameux nilomètre, qui prévoyait et mesurait les crues du Nil. La ville d'Assouan, appelée Syène par les grecs, était surtout le quartier des entrepôts et des marchés.</w:t>
      </w:r>
    </w:p>
    <w:p w14:paraId="0FB6C49D" w14:textId="77777777" w:rsidR="006C3FE1" w:rsidRDefault="006C3FE1">
      <w:pPr>
        <w:spacing w:line="360" w:lineRule="auto"/>
        <w:jc w:val="both"/>
      </w:pPr>
      <w:r>
        <w:t>Les rochers et les îlots autour desquels tourbillonne le Nil, à Assouan, n'évoquent guère l'idée que l'on se fait d'une cataracte. Ils ont pourtant formé, avant que le barrage ne règle le débit du fleuve, une frontière difficile à franchir entre l'Egypte et l'Afrique Noire.</w:t>
      </w:r>
    </w:p>
    <w:p w14:paraId="0FB6C49E" w14:textId="77777777" w:rsidR="006C3FE1" w:rsidRDefault="006C3FE1" w:rsidP="00C73ECD">
      <w:pPr>
        <w:pStyle w:val="Titre1"/>
      </w:pPr>
      <w:bookmarkStart w:id="13" w:name="_Toc3788547"/>
      <w:r>
        <w:t>Louxor</w:t>
      </w:r>
      <w:bookmarkEnd w:id="13"/>
    </w:p>
    <w:p w14:paraId="0FB6C49F" w14:textId="77777777" w:rsidR="006C3FE1" w:rsidRDefault="006C3FE1">
      <w:pPr>
        <w:jc w:val="both"/>
      </w:pPr>
    </w:p>
    <w:p w14:paraId="0FB6C4A0" w14:textId="77777777" w:rsidR="006C3FE1" w:rsidRDefault="006C3FE1">
      <w:pPr>
        <w:jc w:val="both"/>
      </w:pPr>
      <w:r>
        <w:t>Louxor, l'antique Thèbes, ses temples (Karnak, Louxor, Hatchepsout) et ses nécropoles (Vallée des Reines, Vallée des Rois) offrent un voyage dans le temps, entre le passé fabuleux où les temples étaient à l'exacte mesure de la ville, et le présent des femmes en melaya noire, des felouques paressant sur le Nil et des oiseaux troublant à peine le silence du royaume thébain</w:t>
      </w:r>
    </w:p>
    <w:p w14:paraId="0FB6C4A1" w14:textId="77777777" w:rsidR="006C3FE1" w:rsidRDefault="006C3FE1">
      <w:pPr>
        <w:jc w:val="both"/>
      </w:pPr>
    </w:p>
    <w:p w14:paraId="0FB6C4A2" w14:textId="77777777" w:rsidR="006C3FE1" w:rsidRDefault="006C3FE1">
      <w:pPr>
        <w:jc w:val="both"/>
      </w:pPr>
    </w:p>
    <w:p w14:paraId="0FB6C4A3" w14:textId="77777777" w:rsidR="006C3FE1" w:rsidRDefault="005B5E1F">
      <w:pPr>
        <w:keepNext/>
        <w:jc w:val="center"/>
      </w:pPr>
      <w:r>
        <w:rPr>
          <w:noProof/>
        </w:rPr>
        <w:drawing>
          <wp:inline distT="0" distB="0" distL="0" distR="0" wp14:anchorId="0FB6C4BC" wp14:editId="0FB6C4BD">
            <wp:extent cx="3935730" cy="2599690"/>
            <wp:effectExtent l="0" t="0" r="7620" b="0"/>
            <wp:docPr id="4" name="Image 4" descr="Louxor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uxor 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730" cy="2599690"/>
                    </a:xfrm>
                    <a:prstGeom prst="rect">
                      <a:avLst/>
                    </a:prstGeom>
                    <a:noFill/>
                    <a:ln>
                      <a:noFill/>
                    </a:ln>
                  </pic:spPr>
                </pic:pic>
              </a:graphicData>
            </a:graphic>
          </wp:inline>
        </w:drawing>
      </w:r>
    </w:p>
    <w:p w14:paraId="0FB6C4A4" w14:textId="77777777" w:rsidR="006C3FE1" w:rsidRDefault="006C3FE1">
      <w:pPr>
        <w:pStyle w:val="Lgende"/>
        <w:jc w:val="center"/>
      </w:pPr>
      <w:bookmarkStart w:id="14" w:name="_Toc3772177"/>
      <w:r>
        <w:t xml:space="preserve">Photo </w:t>
      </w:r>
      <w:r w:rsidR="00D92E2E">
        <w:fldChar w:fldCharType="begin"/>
      </w:r>
      <w:r w:rsidR="00D92E2E">
        <w:instrText xml:space="preserve"> SEQ Photo \* ARABIC </w:instrText>
      </w:r>
      <w:r w:rsidR="00D92E2E">
        <w:fldChar w:fldCharType="separate"/>
      </w:r>
      <w:r>
        <w:rPr>
          <w:noProof/>
        </w:rPr>
        <w:t>4</w:t>
      </w:r>
      <w:r w:rsidR="00D92E2E">
        <w:rPr>
          <w:noProof/>
        </w:rPr>
        <w:fldChar w:fldCharType="end"/>
      </w:r>
      <w:r>
        <w:t xml:space="preserve"> Louxor Paysage</w:t>
      </w:r>
      <w:bookmarkEnd w:id="14"/>
    </w:p>
    <w:p w14:paraId="0FB6C4A5" w14:textId="77777777" w:rsidR="006C3FE1" w:rsidRDefault="006C3FE1"/>
    <w:p w14:paraId="0FB6C4A6" w14:textId="77777777" w:rsidR="006C3FE1" w:rsidRDefault="006C3FE1"/>
    <w:p w14:paraId="0FB6C4A7" w14:textId="77777777" w:rsidR="006C3FE1" w:rsidRDefault="006C3FE1">
      <w:pPr>
        <w:pStyle w:val="Titre2"/>
      </w:pPr>
      <w:bookmarkStart w:id="15" w:name="_Toc3788548"/>
      <w:r>
        <w:t>Karnak</w:t>
      </w:r>
      <w:bookmarkEnd w:id="15"/>
      <w:r>
        <w:t xml:space="preserve"> </w:t>
      </w:r>
    </w:p>
    <w:p w14:paraId="0FB6C4A8" w14:textId="77777777" w:rsidR="006C3FE1" w:rsidRDefault="006C3FE1">
      <w:pPr>
        <w:pStyle w:val="Paragraphe"/>
      </w:pPr>
      <w:r>
        <w:t xml:space="preserve">Ce champ de ruines d'environ 130 hectares, dont le temple proprement dit occupe à peine la dixième partie, est l'un des plus grands ensembles sacrés au monde. L'enceinte quadrangulaire de briques crues fait 2,4 km de long et atteint 8 mètres d'épaisseur. Un chantier de 2000 ans a été entamé au moyen Empire et abandonné à l'époque </w:t>
      </w:r>
      <w:r w:rsidR="006C4E84">
        <w:t>ptolémaïque</w:t>
      </w:r>
      <w:r>
        <w:t>. Chaque pharaon veut embellir le domaine d'Amon-Rê. De la XVIIIème dynastie à la XXème dynastie, c'est l'âge d'or: au retour de leurs campagnes en Afrique et en Asie, les pharaons offrent l'essentiel de leur butin au dieu Hamon qui les a menés à la victoire; ils font élever en son honneur de nouveaux pylônes, de nouveaux obélisques, de nouveaux colosses</w:t>
      </w:r>
    </w:p>
    <w:p w14:paraId="0FB6C4A9" w14:textId="77777777" w:rsidR="006C3FE1" w:rsidRDefault="006C3FE1">
      <w:pPr>
        <w:pStyle w:val="Paragraphe"/>
      </w:pPr>
      <w:r>
        <w:t>Une allée de sphinx à tête de bélier (ou sphinx criocéphales) relie le bassin des barques (entrée du site) au temple</w:t>
      </w:r>
    </w:p>
    <w:p w14:paraId="0FB6C4AA" w14:textId="77777777" w:rsidR="006C3FE1" w:rsidRDefault="006C3FE1">
      <w:pPr>
        <w:pStyle w:val="Paragraphe"/>
      </w:pPr>
      <w:r>
        <w:t>Le lac Sacré de Karnak, était destiné aux navigations rituelles. Au fond se trouvent les propylées du sud, 4 pylônes aménagés à partir de la XVIIIème dynastie. Ils sont précédés par la cour de la cachette où les prêtres reléguaient, comme dans un garde-meuble, les statues qui n'avaient plus de rôle à jouer.</w:t>
      </w:r>
    </w:p>
    <w:p w14:paraId="0FB6C4AB" w14:textId="77777777" w:rsidR="006C3FE1" w:rsidRDefault="006C3FE1"/>
    <w:p w14:paraId="0FB6C4AC" w14:textId="77777777" w:rsidR="006C3FE1" w:rsidRDefault="006C3FE1">
      <w:pPr>
        <w:pStyle w:val="Titre2"/>
      </w:pPr>
      <w:bookmarkStart w:id="16" w:name="_Toc3788549"/>
      <w:r>
        <w:t>Louxor</w:t>
      </w:r>
      <w:bookmarkEnd w:id="16"/>
    </w:p>
    <w:p w14:paraId="0FB6C4AD" w14:textId="77777777" w:rsidR="00516DF2" w:rsidRPr="00516DF2" w:rsidRDefault="006C3FE1" w:rsidP="00516DF2">
      <w:pPr>
        <w:pStyle w:val="Sous-titreExpos"/>
      </w:pPr>
      <w:r w:rsidRPr="00516DF2">
        <w:t>Dromos</w:t>
      </w:r>
      <w:r w:rsidR="00516DF2" w:rsidRPr="00516DF2">
        <w:t xml:space="preserve"> de Sphinx au temple de Louxor</w:t>
      </w:r>
    </w:p>
    <w:p w14:paraId="0FB6C4AE" w14:textId="77777777" w:rsidR="006C3FE1" w:rsidRDefault="006C3FE1">
      <w:pPr>
        <w:pStyle w:val="Paragraphe"/>
      </w:pPr>
      <w:r>
        <w:t>Les anciens Egyptiens l'appelaient le "harem d'Amon". Sorte d'annexe du temple de Karnak, celui de Louxor ne servait qu'à l'occasion de la nouvelle année, lorsque la procession du dieu quittait Karnak pour venir participer à la fête de l'Opet, la plus importante des fêtes thébaines. Cela explique sa superficie relativement modeste (260 m sur 58 m) et le long dromos bordé de sphinx à têtes de béliers qui le reliait au temple de Karnak.</w:t>
      </w:r>
    </w:p>
    <w:p w14:paraId="0FB6C4AF" w14:textId="77777777" w:rsidR="006C3FE1" w:rsidRDefault="006C3FE1"/>
    <w:p w14:paraId="0FB6C4B0" w14:textId="77777777" w:rsidR="006C3FE1" w:rsidRDefault="005B5E1F">
      <w:pPr>
        <w:keepNext/>
        <w:jc w:val="center"/>
      </w:pPr>
      <w:r>
        <w:rPr>
          <w:noProof/>
        </w:rPr>
        <w:drawing>
          <wp:inline distT="0" distB="0" distL="0" distR="0" wp14:anchorId="0FB6C4BE" wp14:editId="0FB6C4BF">
            <wp:extent cx="3863975" cy="2527935"/>
            <wp:effectExtent l="0" t="0" r="3175" b="5715"/>
            <wp:docPr id="5" name="Image 5" descr="Louxor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uxor 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3975" cy="2527935"/>
                    </a:xfrm>
                    <a:prstGeom prst="rect">
                      <a:avLst/>
                    </a:prstGeom>
                    <a:noFill/>
                    <a:ln>
                      <a:noFill/>
                    </a:ln>
                  </pic:spPr>
                </pic:pic>
              </a:graphicData>
            </a:graphic>
          </wp:inline>
        </w:drawing>
      </w:r>
    </w:p>
    <w:p w14:paraId="0FB6C4B1" w14:textId="77777777" w:rsidR="006C3FE1" w:rsidRDefault="006C3FE1">
      <w:pPr>
        <w:pStyle w:val="Lgende"/>
        <w:jc w:val="center"/>
      </w:pPr>
      <w:bookmarkStart w:id="17" w:name="_Toc3772178"/>
      <w:r>
        <w:t xml:space="preserve">Photo </w:t>
      </w:r>
      <w:r w:rsidR="00D92E2E">
        <w:fldChar w:fldCharType="begin"/>
      </w:r>
      <w:r w:rsidR="00D92E2E">
        <w:instrText xml:space="preserve"> SEQ Photo \* ARABIC </w:instrText>
      </w:r>
      <w:r w:rsidR="00D92E2E">
        <w:fldChar w:fldCharType="separate"/>
      </w:r>
      <w:r>
        <w:rPr>
          <w:noProof/>
        </w:rPr>
        <w:t>5</w:t>
      </w:r>
      <w:r w:rsidR="00D92E2E">
        <w:rPr>
          <w:noProof/>
        </w:rPr>
        <w:fldChar w:fldCharType="end"/>
      </w:r>
      <w:r>
        <w:t xml:space="preserve"> Louxor</w:t>
      </w:r>
      <w:bookmarkEnd w:id="17"/>
    </w:p>
    <w:p w14:paraId="0FB6C4B2" w14:textId="77777777" w:rsidR="006C3FE1" w:rsidRDefault="006C3FE1"/>
    <w:p w14:paraId="0FB6C4B3" w14:textId="77777777" w:rsidR="006C3FE1" w:rsidRDefault="006C3FE1">
      <w:pPr>
        <w:pStyle w:val="Titre2"/>
      </w:pPr>
      <w:bookmarkStart w:id="18" w:name="_Toc3788550"/>
      <w:r>
        <w:t>Hatchepsout</w:t>
      </w:r>
      <w:bookmarkEnd w:id="18"/>
      <w:r>
        <w:t xml:space="preserve"> </w:t>
      </w:r>
    </w:p>
    <w:p w14:paraId="0FB6C4B4" w14:textId="77777777" w:rsidR="00516DF2" w:rsidRPr="00516DF2" w:rsidRDefault="006C3FE1">
      <w:pPr>
        <w:pStyle w:val="Paragraphe"/>
        <w:rPr>
          <w:b/>
          <w:sz w:val="22"/>
          <w:u w:val="single"/>
        </w:rPr>
      </w:pPr>
      <w:r w:rsidRPr="00516DF2">
        <w:rPr>
          <w:b/>
          <w:sz w:val="22"/>
          <w:u w:val="single"/>
        </w:rPr>
        <w:t>Le temple d'Hatchepsout</w:t>
      </w:r>
    </w:p>
    <w:p w14:paraId="0FB6C4B5" w14:textId="77777777" w:rsidR="006C3FE1" w:rsidRDefault="00516DF2">
      <w:pPr>
        <w:pStyle w:val="Paragraphe"/>
      </w:pPr>
      <w:r>
        <w:t>C</w:t>
      </w:r>
      <w:r w:rsidR="006C3FE1">
        <w:t xml:space="preserve">onstruit par l'architecte Senmout, </w:t>
      </w:r>
      <w:r>
        <w:t xml:space="preserve">ce temple </w:t>
      </w:r>
      <w:r w:rsidR="006C3FE1">
        <w:t>est parfaitement intégré à la falaise. Le temple funéraire de la reine Hatchepsout (XIIIème dynastie, 1505-1484 av. J-C.) est l'un des monuments les plus remarquables de l'architecture égyptienne comme l'indique son ancien nom "nefer-neferou", le "sublime des sublimes". Une allée bordée de sphinx le reliait autrefois au temple d'accueil, où se déroulaient les cérémonies de momification.</w:t>
      </w:r>
    </w:p>
    <w:sectPr w:rsidR="006C3FE1">
      <w:headerReference w:type="default" r:id="rId11"/>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6C4C2" w14:textId="77777777" w:rsidR="00170DF6" w:rsidRDefault="00170DF6">
      <w:r>
        <w:separator/>
      </w:r>
    </w:p>
  </w:endnote>
  <w:endnote w:type="continuationSeparator" w:id="0">
    <w:p w14:paraId="0FB6C4C3" w14:textId="77777777" w:rsidR="00170DF6" w:rsidRDefault="0017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6C4C0" w14:textId="77777777" w:rsidR="00170DF6" w:rsidRDefault="00170DF6">
      <w:r>
        <w:separator/>
      </w:r>
    </w:p>
  </w:footnote>
  <w:footnote w:type="continuationSeparator" w:id="0">
    <w:p w14:paraId="0FB6C4C1" w14:textId="77777777" w:rsidR="00170DF6" w:rsidRDefault="00170D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6C4C4" w14:textId="77777777" w:rsidR="006C3FE1" w:rsidRDefault="006C3FE1">
    <w:pPr>
      <w:pStyle w:val="En-tte"/>
      <w:pBdr>
        <w:bottom w:val="single" w:sz="4" w:space="1" w:color="auto"/>
      </w:pBdr>
    </w:pPr>
    <w:r>
      <w:rPr>
        <w:b/>
        <w:sz w:val="24"/>
      </w:rPr>
      <w:t>L’EGYPTE</w:t>
    </w:r>
    <w:r>
      <w:t xml:space="preserve"> – </w:t>
    </w:r>
    <w:r w:rsidR="00BD4851">
      <w:t>Exposé</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577"/>
    <w:rsid w:val="00075400"/>
    <w:rsid w:val="00170DF6"/>
    <w:rsid w:val="00516DF2"/>
    <w:rsid w:val="005B5E1F"/>
    <w:rsid w:val="006C3FE1"/>
    <w:rsid w:val="006C4E84"/>
    <w:rsid w:val="00755DBE"/>
    <w:rsid w:val="00AB0DC8"/>
    <w:rsid w:val="00AD3577"/>
    <w:rsid w:val="00BD4851"/>
    <w:rsid w:val="00BD4A58"/>
    <w:rsid w:val="00C73ECD"/>
    <w:rsid w:val="00D92E2E"/>
    <w:rsid w:val="00FB1D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C46E"/>
  <w15:docId w15:val="{C577EB77-BDD2-4646-8F86-30D5AD02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mic Sans MS" w:hAnsi="Comic Sans MS"/>
    </w:rPr>
  </w:style>
  <w:style w:type="paragraph" w:styleId="Titre1">
    <w:name w:val="heading 1"/>
    <w:basedOn w:val="Normal"/>
    <w:next w:val="Normal"/>
    <w:qFormat/>
    <w:rsid w:val="00C73ECD"/>
    <w:pPr>
      <w:keepNext/>
      <w:pBdr>
        <w:bottom w:val="single" w:sz="4" w:space="3" w:color="auto"/>
      </w:pBdr>
      <w:spacing w:before="240" w:after="60"/>
      <w:outlineLvl w:val="0"/>
    </w:pPr>
    <w:rPr>
      <w:b/>
      <w:bCs/>
      <w:kern w:val="32"/>
      <w:sz w:val="48"/>
      <w:szCs w:val="72"/>
    </w:rPr>
  </w:style>
  <w:style w:type="paragraph" w:styleId="Titre2">
    <w:name w:val="heading 2"/>
    <w:basedOn w:val="Normal"/>
    <w:next w:val="Normal"/>
    <w:qFormat/>
    <w:rsid w:val="00AD3577"/>
    <w:pPr>
      <w:keepNext/>
      <w:shd w:val="pct12" w:color="auto" w:fill="FFFFFF"/>
      <w:spacing w:before="240" w:after="60"/>
      <w:ind w:right="3402" w:firstLine="567"/>
      <w:outlineLvl w:val="1"/>
    </w:pPr>
    <w:rPr>
      <w:rFonts w:ascii="Verdana" w:hAnsi="Verdana"/>
      <w:b/>
      <w:bCs/>
      <w:sz w:val="28"/>
      <w:szCs w:val="32"/>
    </w:rPr>
  </w:style>
  <w:style w:type="paragraph" w:styleId="Titre4">
    <w:name w:val="heading 4"/>
    <w:basedOn w:val="Normal"/>
    <w:qFormat/>
    <w:pPr>
      <w:spacing w:before="100" w:beforeAutospacing="1" w:after="100" w:afterAutospacing="1"/>
      <w:outlineLvl w:val="3"/>
    </w:pPr>
    <w:rPr>
      <w:rFonts w:ascii="Arial Unicode MS" w:eastAsia="Arial Unicode MS" w:hAnsi="Arial Unicode MS" w:cs="Arial Unicode MS"/>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Paragraphe">
    <w:name w:val="Paragraphe"/>
    <w:basedOn w:val="Normal"/>
    <w:pPr>
      <w:ind w:left="567"/>
      <w:jc w:val="both"/>
    </w:pPr>
  </w:style>
  <w:style w:type="paragraph" w:styleId="Lgende">
    <w:name w:val="caption"/>
    <w:basedOn w:val="Normal"/>
    <w:next w:val="Normal"/>
    <w:qFormat/>
    <w:pPr>
      <w:spacing w:before="120" w:after="120"/>
    </w:pPr>
    <w:rPr>
      <w:b/>
      <w:bCs/>
    </w:rPr>
  </w:style>
  <w:style w:type="paragraph" w:styleId="TM1">
    <w:name w:val="toc 1"/>
    <w:basedOn w:val="Normal"/>
    <w:next w:val="Normal"/>
    <w:autoRedefine/>
    <w:semiHidden/>
    <w:pPr>
      <w:tabs>
        <w:tab w:val="right" w:leader="dot" w:pos="9062"/>
      </w:tabs>
      <w:spacing w:before="480" w:after="240"/>
    </w:pPr>
    <w:rPr>
      <w:noProof/>
      <w:sz w:val="28"/>
      <w:szCs w:val="28"/>
    </w:rPr>
  </w:style>
  <w:style w:type="paragraph" w:styleId="TM2">
    <w:name w:val="toc 2"/>
    <w:basedOn w:val="Normal"/>
    <w:next w:val="Normal"/>
    <w:autoRedefine/>
    <w:semiHidden/>
    <w:pPr>
      <w:tabs>
        <w:tab w:val="right" w:leader="dot" w:pos="9062"/>
      </w:tabs>
      <w:spacing w:before="120"/>
      <w:ind w:left="198"/>
    </w:pPr>
    <w:rPr>
      <w:noProof/>
    </w:rPr>
  </w:style>
  <w:style w:type="paragraph" w:styleId="TM3">
    <w:name w:val="toc 3"/>
    <w:basedOn w:val="Normal"/>
    <w:next w:val="Normal"/>
    <w:autoRedefine/>
    <w:semiHidden/>
    <w:pPr>
      <w:ind w:left="400"/>
    </w:pPr>
  </w:style>
  <w:style w:type="paragraph" w:styleId="TM4">
    <w:name w:val="toc 4"/>
    <w:basedOn w:val="Normal"/>
    <w:next w:val="Normal"/>
    <w:autoRedefine/>
    <w:semiHidden/>
    <w:pPr>
      <w:ind w:left="600"/>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character" w:styleId="Lienhypertexte">
    <w:name w:val="Hyperlink"/>
    <w:basedOn w:val="Policepardfaut"/>
    <w:rPr>
      <w:color w:val="0000FF"/>
      <w:u w:val="single"/>
    </w:rPr>
  </w:style>
  <w:style w:type="paragraph" w:styleId="Tabledesillustrations">
    <w:name w:val="table of figures"/>
    <w:basedOn w:val="Normal"/>
    <w:next w:val="Normal"/>
    <w:semiHidden/>
    <w:pPr>
      <w:ind w:left="400" w:hanging="4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uiPriority w:val="99"/>
    <w:semiHidden/>
    <w:unhideWhenUsed/>
    <w:rsid w:val="00BD4851"/>
    <w:rPr>
      <w:rFonts w:ascii="Tahoma" w:hAnsi="Tahoma" w:cs="Tahoma"/>
      <w:sz w:val="16"/>
      <w:szCs w:val="16"/>
    </w:rPr>
  </w:style>
  <w:style w:type="character" w:customStyle="1" w:styleId="TextedebullesCar">
    <w:name w:val="Texte de bulles Car"/>
    <w:basedOn w:val="Policepardfaut"/>
    <w:link w:val="Textedebulles"/>
    <w:uiPriority w:val="99"/>
    <w:semiHidden/>
    <w:rsid w:val="00BD4851"/>
    <w:rPr>
      <w:rFonts w:ascii="Tahoma" w:hAnsi="Tahoma" w:cs="Tahoma"/>
      <w:sz w:val="16"/>
      <w:szCs w:val="16"/>
    </w:rPr>
  </w:style>
  <w:style w:type="paragraph" w:styleId="Titre">
    <w:name w:val="Title"/>
    <w:basedOn w:val="Normal"/>
    <w:next w:val="Normal"/>
    <w:link w:val="TitreCar"/>
    <w:uiPriority w:val="10"/>
    <w:qFormat/>
    <w:rsid w:val="00BD4A58"/>
    <w:pPr>
      <w:shd w:val="clear" w:color="auto" w:fill="D99594" w:themeFill="accent2" w:themeFillTint="99"/>
      <w:spacing w:after="720"/>
      <w:contextualSpacing/>
      <w:jc w:val="center"/>
    </w:pPr>
    <w:rPr>
      <w:rFonts w:ascii="Algerian" w:eastAsiaTheme="majorEastAsia" w:hAnsi="Algerian" w:cstheme="majorBidi"/>
      <w:b/>
      <w:spacing w:val="98"/>
      <w:kern w:val="28"/>
      <w:sz w:val="52"/>
      <w:szCs w:val="52"/>
      <w14:textOutline w14:w="5270" w14:cap="flat" w14:cmpd="sng" w14:algn="ctr">
        <w14:solidFill>
          <w14:srgbClr w14:val="000000"/>
        </w14:solidFill>
        <w14:prstDash w14:val="solid"/>
        <w14:round/>
      </w14:textOutline>
    </w:rPr>
  </w:style>
  <w:style w:type="character" w:customStyle="1" w:styleId="TitreCar">
    <w:name w:val="Titre Car"/>
    <w:basedOn w:val="Policepardfaut"/>
    <w:link w:val="Titre"/>
    <w:uiPriority w:val="10"/>
    <w:rsid w:val="00BD4A58"/>
    <w:rPr>
      <w:rFonts w:ascii="Algerian" w:eastAsiaTheme="majorEastAsia" w:hAnsi="Algerian" w:cstheme="majorBidi"/>
      <w:b/>
      <w:spacing w:val="98"/>
      <w:kern w:val="28"/>
      <w:sz w:val="52"/>
      <w:szCs w:val="52"/>
      <w:shd w:val="clear" w:color="auto" w:fill="D99594" w:themeFill="accent2" w:themeFillTint="99"/>
      <w14:textOutline w14:w="5270" w14:cap="flat" w14:cmpd="sng" w14:algn="ctr">
        <w14:solidFill>
          <w14:srgbClr w14:val="000000"/>
        </w14:solidFill>
        <w14:prstDash w14:val="solid"/>
        <w14:round/>
      </w14:textOutline>
    </w:rPr>
  </w:style>
  <w:style w:type="paragraph" w:customStyle="1" w:styleId="Sous-titreExpos">
    <w:name w:val="Sous-titre Exposé"/>
    <w:basedOn w:val="Paragraphe"/>
    <w:qFormat/>
    <w:rsid w:val="00516DF2"/>
    <w:rPr>
      <w:b/>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1389</Words>
  <Characters>7641</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A bou Simbel</vt:lpstr>
    </vt:vector>
  </TitlesOfParts>
  <Company>ENIService</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bou Simbel</dc:title>
  <dc:creator>snamy</dc:creator>
  <cp:lastModifiedBy>Paul WOLFONI</cp:lastModifiedBy>
  <cp:revision>2</cp:revision>
  <cp:lastPrinted>2004-02-11T12:28:00Z</cp:lastPrinted>
  <dcterms:created xsi:type="dcterms:W3CDTF">2015-07-18T12:19:00Z</dcterms:created>
  <dcterms:modified xsi:type="dcterms:W3CDTF">2015-07-18T12:19:00Z</dcterms:modified>
</cp:coreProperties>
</file>